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87C" w:rsidRPr="00C543FD" w:rsidRDefault="0037033B">
      <w:pPr>
        <w:rPr>
          <w:b/>
          <w:sz w:val="28"/>
          <w:szCs w:val="28"/>
          <w:u w:val="single"/>
        </w:rPr>
      </w:pPr>
      <w:r w:rsidRPr="00C543FD">
        <w:rPr>
          <w:b/>
          <w:sz w:val="28"/>
          <w:szCs w:val="28"/>
          <w:u w:val="single"/>
        </w:rPr>
        <w:t xml:space="preserve">Thyroidectomy Template Answer: </w:t>
      </w:r>
    </w:p>
    <w:p w:rsidR="00C543FD" w:rsidRPr="00C543FD" w:rsidRDefault="00C543FD" w:rsidP="00C543FD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 w:rsidRPr="00C543FD">
        <w:rPr>
          <w:b/>
          <w:sz w:val="20"/>
          <w:szCs w:val="20"/>
        </w:rPr>
        <w:t>Sources: “SAQs for the Final FRCA”, Shorthouse</w:t>
      </w:r>
    </w:p>
    <w:p w:rsidR="00C543FD" w:rsidRPr="00C543FD" w:rsidRDefault="00C543FD" w:rsidP="00C543FD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hyperlink r:id="rId7" w:history="1">
        <w:r w:rsidRPr="00C543FD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bdr w:val="none" w:sz="0" w:space="0" w:color="auto" w:frame="1"/>
          </w:rPr>
          <w:t>https://bit.ly/2Bv7Zz8</w:t>
        </w:r>
      </w:hyperlink>
    </w:p>
    <w:p w:rsidR="00C543FD" w:rsidRPr="00C543FD" w:rsidRDefault="00C543FD" w:rsidP="00C543FD">
      <w:pPr>
        <w:pStyle w:val="ListParagraph"/>
        <w:numPr>
          <w:ilvl w:val="0"/>
          <w:numId w:val="3"/>
        </w:numPr>
        <w:rPr>
          <w:sz w:val="20"/>
          <w:szCs w:val="20"/>
        </w:rPr>
      </w:pPr>
      <w:hyperlink r:id="rId8" w:history="1">
        <w:r w:rsidRPr="00C543FD">
          <w:rPr>
            <w:rStyle w:val="Hyperlink"/>
            <w:sz w:val="20"/>
            <w:szCs w:val="20"/>
          </w:rPr>
          <w:t>http://www.frca.co.uk/Documents/162%20Anaesthesia%20for%20thyroid%20surgery.pdf</w:t>
        </w:r>
      </w:hyperlink>
    </w:p>
    <w:p w:rsidR="00C543FD" w:rsidRDefault="00C543FD" w:rsidP="00C543FD">
      <w:pPr>
        <w:ind w:left="360"/>
      </w:pPr>
    </w:p>
    <w:p w:rsidR="0037033B" w:rsidRDefault="0037033B"/>
    <w:p w:rsidR="0037033B" w:rsidRPr="00C543FD" w:rsidRDefault="0037033B" w:rsidP="0037033B">
      <w:pPr>
        <w:pStyle w:val="ListParagraph"/>
        <w:numPr>
          <w:ilvl w:val="0"/>
          <w:numId w:val="1"/>
        </w:numPr>
        <w:rPr>
          <w:b/>
          <w:u w:val="single"/>
        </w:rPr>
      </w:pPr>
      <w:r w:rsidRPr="00C543FD">
        <w:rPr>
          <w:b/>
          <w:u w:val="single"/>
        </w:rPr>
        <w:t xml:space="preserve">Pre-op assessment: </w:t>
      </w:r>
    </w:p>
    <w:p w:rsidR="0037033B" w:rsidRDefault="0037033B" w:rsidP="00C543FD">
      <w:pPr>
        <w:pStyle w:val="ListParagraph"/>
        <w:numPr>
          <w:ilvl w:val="1"/>
          <w:numId w:val="1"/>
        </w:numPr>
      </w:pPr>
      <w:r>
        <w:t>History – ask about lying flat, stridor, hoarse voice, stridor</w:t>
      </w:r>
    </w:p>
    <w:p w:rsidR="0037033B" w:rsidRDefault="0037033B" w:rsidP="00C543FD">
      <w:pPr>
        <w:pStyle w:val="ListParagraph"/>
        <w:numPr>
          <w:ilvl w:val="1"/>
          <w:numId w:val="1"/>
        </w:numPr>
      </w:pPr>
      <w:r>
        <w:t xml:space="preserve">Symptoms of hyper/hypo- </w:t>
      </w:r>
      <w:proofErr w:type="spellStart"/>
      <w:r>
        <w:t>thyroidism</w:t>
      </w:r>
      <w:proofErr w:type="spellEnd"/>
      <w:r>
        <w:t xml:space="preserve"> (AF, ECG), aim for euthyroid pre-op (biochemically &amp; clinically) </w:t>
      </w:r>
    </w:p>
    <w:p w:rsidR="0037033B" w:rsidRDefault="0037033B" w:rsidP="00C543FD">
      <w:pPr>
        <w:pStyle w:val="ListParagraph"/>
        <w:numPr>
          <w:ilvl w:val="1"/>
          <w:numId w:val="1"/>
        </w:numPr>
      </w:pPr>
      <w:r>
        <w:t>Airway examination – extent of goitre, trachea location (deviated?), FONA assessment, neck movements</w:t>
      </w:r>
    </w:p>
    <w:p w:rsidR="0037033B" w:rsidRDefault="0037033B" w:rsidP="00C543FD">
      <w:pPr>
        <w:pStyle w:val="ListParagraph"/>
        <w:numPr>
          <w:ilvl w:val="1"/>
          <w:numId w:val="1"/>
        </w:numPr>
      </w:pPr>
      <w:r>
        <w:t>Bloods: FBC, TFTs, FBC, U&amp;Es, Ca</w:t>
      </w:r>
      <w:r w:rsidRPr="0037033B">
        <w:rPr>
          <w:vertAlign w:val="superscript"/>
        </w:rPr>
        <w:t>2+</w:t>
      </w:r>
      <w:r>
        <w:t>.</w:t>
      </w:r>
    </w:p>
    <w:p w:rsidR="0037033B" w:rsidRDefault="0037033B" w:rsidP="00C543FD">
      <w:pPr>
        <w:pStyle w:val="ListParagraph"/>
        <w:numPr>
          <w:ilvl w:val="1"/>
          <w:numId w:val="1"/>
        </w:numPr>
      </w:pPr>
      <w:r>
        <w:t xml:space="preserve">CT </w:t>
      </w:r>
      <w:proofErr w:type="gramStart"/>
      <w:r>
        <w:t>- ?</w:t>
      </w:r>
      <w:proofErr w:type="gramEnd"/>
      <w:r>
        <w:t xml:space="preserve"> compression, narrowing, deviation</w:t>
      </w:r>
      <w:r w:rsidR="00C543FD">
        <w:t>, retrosternal extension</w:t>
      </w:r>
    </w:p>
    <w:p w:rsidR="0037033B" w:rsidRDefault="0037033B" w:rsidP="00C543FD">
      <w:pPr>
        <w:pStyle w:val="ListParagraph"/>
        <w:numPr>
          <w:ilvl w:val="1"/>
          <w:numId w:val="1"/>
        </w:numPr>
      </w:pPr>
      <w:r>
        <w:t>Nasal endoscopy</w:t>
      </w:r>
    </w:p>
    <w:p w:rsidR="00C543FD" w:rsidRDefault="00C543FD" w:rsidP="00C543FD">
      <w:pPr>
        <w:pStyle w:val="ListParagraph"/>
        <w:ind w:left="2160"/>
      </w:pPr>
    </w:p>
    <w:p w:rsidR="0037033B" w:rsidRPr="00C543FD" w:rsidRDefault="0037033B" w:rsidP="0037033B">
      <w:pPr>
        <w:pStyle w:val="ListParagraph"/>
        <w:numPr>
          <w:ilvl w:val="0"/>
          <w:numId w:val="1"/>
        </w:numPr>
        <w:rPr>
          <w:b/>
          <w:u w:val="single"/>
        </w:rPr>
      </w:pPr>
      <w:r w:rsidRPr="00C543FD">
        <w:rPr>
          <w:b/>
          <w:u w:val="single"/>
        </w:rPr>
        <w:t xml:space="preserve">Intra-op: </w:t>
      </w:r>
    </w:p>
    <w:p w:rsidR="0037033B" w:rsidRDefault="0037033B" w:rsidP="00C543FD">
      <w:pPr>
        <w:pStyle w:val="ListParagraph"/>
        <w:numPr>
          <w:ilvl w:val="1"/>
          <w:numId w:val="4"/>
        </w:numPr>
      </w:pPr>
      <w:r>
        <w:t xml:space="preserve">Usually standard induction, possibly head up/semi-recumbent </w:t>
      </w:r>
    </w:p>
    <w:p w:rsidR="0037033B" w:rsidRDefault="0037033B" w:rsidP="00C543FD">
      <w:pPr>
        <w:pStyle w:val="ListParagraph"/>
        <w:numPr>
          <w:ilvl w:val="1"/>
          <w:numId w:val="4"/>
        </w:numPr>
      </w:pPr>
      <w:r>
        <w:t xml:space="preserve">Reinforced ETT </w:t>
      </w:r>
    </w:p>
    <w:p w:rsidR="0037033B" w:rsidRDefault="0037033B" w:rsidP="00C543FD">
      <w:pPr>
        <w:pStyle w:val="ListParagraph"/>
        <w:numPr>
          <w:ilvl w:val="1"/>
          <w:numId w:val="4"/>
        </w:numPr>
      </w:pPr>
      <w:r>
        <w:t>Consider AFOI if tracheal anatomy difficult</w:t>
      </w:r>
    </w:p>
    <w:p w:rsidR="0037033B" w:rsidRDefault="0037033B" w:rsidP="00C543FD">
      <w:pPr>
        <w:pStyle w:val="ListParagraph"/>
        <w:numPr>
          <w:ilvl w:val="1"/>
          <w:numId w:val="4"/>
        </w:numPr>
      </w:pPr>
      <w:r>
        <w:t xml:space="preserve">Consider LA tracheostomy </w:t>
      </w:r>
    </w:p>
    <w:p w:rsidR="0037033B" w:rsidRDefault="0037033B" w:rsidP="00C543FD">
      <w:pPr>
        <w:pStyle w:val="ListParagraph"/>
        <w:numPr>
          <w:ilvl w:val="1"/>
          <w:numId w:val="4"/>
        </w:numPr>
      </w:pPr>
      <w:r>
        <w:t xml:space="preserve">Rigid bronchoscope – backup if unable to pass ETT </w:t>
      </w:r>
    </w:p>
    <w:p w:rsidR="0037033B" w:rsidRDefault="0037033B" w:rsidP="00C543FD">
      <w:pPr>
        <w:pStyle w:val="ListParagraph"/>
        <w:numPr>
          <w:ilvl w:val="1"/>
          <w:numId w:val="4"/>
        </w:numPr>
      </w:pPr>
      <w:r>
        <w:t xml:space="preserve">Careful eye protection (exophthalmos) </w:t>
      </w:r>
    </w:p>
    <w:p w:rsidR="0037033B" w:rsidRDefault="0037033B" w:rsidP="00C543FD">
      <w:pPr>
        <w:pStyle w:val="ListParagraph"/>
        <w:numPr>
          <w:ilvl w:val="1"/>
          <w:numId w:val="4"/>
        </w:numPr>
      </w:pPr>
      <w:r>
        <w:t>Neck extended, hear slightly up to help venous drainage</w:t>
      </w:r>
    </w:p>
    <w:p w:rsidR="0037033B" w:rsidRDefault="0037033B" w:rsidP="00C543FD">
      <w:pPr>
        <w:pStyle w:val="ListParagraph"/>
        <w:numPr>
          <w:ilvl w:val="1"/>
          <w:numId w:val="4"/>
        </w:numPr>
      </w:pPr>
      <w:r>
        <w:t xml:space="preserve">Ensure adequate relaxation </w:t>
      </w:r>
      <w:bookmarkStart w:id="0" w:name="_GoBack"/>
      <w:bookmarkEnd w:id="0"/>
    </w:p>
    <w:p w:rsidR="0037033B" w:rsidRDefault="0037033B" w:rsidP="00C543FD">
      <w:pPr>
        <w:pStyle w:val="ListParagraph"/>
        <w:numPr>
          <w:ilvl w:val="1"/>
          <w:numId w:val="4"/>
        </w:numPr>
      </w:pPr>
      <w:r>
        <w:t xml:space="preserve">Consider dexamethasone for oedema/antiemesis </w:t>
      </w:r>
    </w:p>
    <w:p w:rsidR="0037033B" w:rsidRDefault="0037033B" w:rsidP="0037033B">
      <w:pPr>
        <w:pStyle w:val="ListParagraph"/>
        <w:ind w:left="1440"/>
      </w:pPr>
    </w:p>
    <w:p w:rsidR="0037033B" w:rsidRPr="00C543FD" w:rsidRDefault="0037033B" w:rsidP="0037033B">
      <w:pPr>
        <w:pStyle w:val="ListParagraph"/>
        <w:numPr>
          <w:ilvl w:val="0"/>
          <w:numId w:val="1"/>
        </w:numPr>
        <w:rPr>
          <w:b/>
          <w:u w:val="single"/>
        </w:rPr>
      </w:pPr>
      <w:r w:rsidRPr="00C543FD">
        <w:rPr>
          <w:b/>
          <w:u w:val="single"/>
        </w:rPr>
        <w:t xml:space="preserve">Post-op: </w:t>
      </w:r>
    </w:p>
    <w:p w:rsidR="0037033B" w:rsidRDefault="0037033B" w:rsidP="0037033B">
      <w:pPr>
        <w:pStyle w:val="ListParagraph"/>
        <w:numPr>
          <w:ilvl w:val="0"/>
          <w:numId w:val="2"/>
        </w:numPr>
      </w:pPr>
      <w:r>
        <w:t>ABC approach if called to recovery</w:t>
      </w:r>
    </w:p>
    <w:p w:rsidR="0037033B" w:rsidRDefault="0037033B" w:rsidP="0037033B">
      <w:pPr>
        <w:pStyle w:val="ListParagraph"/>
        <w:numPr>
          <w:ilvl w:val="0"/>
          <w:numId w:val="2"/>
        </w:numPr>
      </w:pPr>
      <w:r>
        <w:t>Consider re-intubation and ventilation</w:t>
      </w:r>
    </w:p>
    <w:p w:rsidR="0037033B" w:rsidRDefault="0037033B" w:rsidP="0037033B">
      <w:pPr>
        <w:pStyle w:val="ListParagraph"/>
        <w:numPr>
          <w:ilvl w:val="0"/>
          <w:numId w:val="2"/>
        </w:numPr>
      </w:pPr>
      <w:r>
        <w:t xml:space="preserve">Tracheomalacia or RLN palsy helped by sitting up </w:t>
      </w:r>
    </w:p>
    <w:p w:rsidR="0037033B" w:rsidRDefault="0037033B" w:rsidP="0037033B">
      <w:pPr>
        <w:pStyle w:val="ListParagraph"/>
        <w:numPr>
          <w:ilvl w:val="0"/>
          <w:numId w:val="2"/>
        </w:numPr>
      </w:pPr>
      <w:r>
        <w:t xml:space="preserve">For expanding haematoma, remove clips </w:t>
      </w:r>
    </w:p>
    <w:p w:rsidR="0037033B" w:rsidRDefault="0037033B" w:rsidP="00C543FD">
      <w:pPr>
        <w:pStyle w:val="ListParagraph"/>
        <w:numPr>
          <w:ilvl w:val="0"/>
          <w:numId w:val="2"/>
        </w:numPr>
      </w:pPr>
      <w:r>
        <w:t>Hypocalcaemia – if &gt;2.0</w:t>
      </w:r>
      <w:r w:rsidR="00C543FD">
        <w:t xml:space="preserve"> mmol/L, post-op supplementation; if &lt;2.0 give 10ml 10% calcium gluconate over 10 mins and </w:t>
      </w:r>
      <w:proofErr w:type="spellStart"/>
      <w:r w:rsidR="00C543FD">
        <w:t>Px</w:t>
      </w:r>
      <w:proofErr w:type="spellEnd"/>
      <w:r w:rsidR="00C543FD">
        <w:t xml:space="preserve"> </w:t>
      </w:r>
      <w:proofErr w:type="spellStart"/>
      <w:r w:rsidR="00C543FD">
        <w:t>alfacalcidol</w:t>
      </w:r>
      <w:proofErr w:type="spellEnd"/>
      <w:r w:rsidR="00C543FD">
        <w:t xml:space="preserve"> or dihydroxycholecalciferol (1-5g)   </w:t>
      </w:r>
    </w:p>
    <w:p w:rsidR="00C543FD" w:rsidRDefault="00C543FD" w:rsidP="00C543FD">
      <w:pPr>
        <w:pStyle w:val="ListParagraph"/>
        <w:numPr>
          <w:ilvl w:val="0"/>
          <w:numId w:val="2"/>
        </w:numPr>
      </w:pPr>
      <w:r>
        <w:t>Pneumothorax – if retrosternal extension</w:t>
      </w:r>
    </w:p>
    <w:p w:rsidR="00C543FD" w:rsidRDefault="00C543FD" w:rsidP="00C543FD">
      <w:pPr>
        <w:pStyle w:val="ListParagraph"/>
        <w:numPr>
          <w:ilvl w:val="0"/>
          <w:numId w:val="2"/>
        </w:numPr>
      </w:pPr>
      <w:r>
        <w:t xml:space="preserve">Thyroid crisis – </w:t>
      </w:r>
      <w:r>
        <w:sym w:font="Symbol" w:char="F062"/>
      </w:r>
      <w:r>
        <w:t xml:space="preserve">-blockers, steroids, and thyroid suppression therapy in HDU/ITU (liaise with endocrinologist) </w:t>
      </w:r>
    </w:p>
    <w:p w:rsidR="00C543FD" w:rsidRDefault="00C543FD" w:rsidP="00C543FD">
      <w:pPr>
        <w:ind w:left="1440"/>
      </w:pPr>
    </w:p>
    <w:p w:rsidR="0037033B" w:rsidRDefault="0037033B" w:rsidP="0037033B"/>
    <w:sectPr w:rsidR="0037033B" w:rsidSect="000E6707">
      <w:head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B6B" w:rsidRDefault="00661B6B" w:rsidP="00C543FD">
      <w:r>
        <w:separator/>
      </w:r>
    </w:p>
  </w:endnote>
  <w:endnote w:type="continuationSeparator" w:id="0">
    <w:p w:rsidR="00661B6B" w:rsidRDefault="00661B6B" w:rsidP="00C5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B6B" w:rsidRDefault="00661B6B" w:rsidP="00C543FD">
      <w:r>
        <w:separator/>
      </w:r>
    </w:p>
  </w:footnote>
  <w:footnote w:type="continuationSeparator" w:id="0">
    <w:p w:rsidR="00661B6B" w:rsidRDefault="00661B6B" w:rsidP="00C5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3FD" w:rsidRDefault="00C543FD">
    <w:pPr>
      <w:pStyle w:val="Header"/>
    </w:pPr>
  </w:p>
  <w:p w:rsidR="00C543FD" w:rsidRDefault="00C54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B2CED"/>
    <w:multiLevelType w:val="hybridMultilevel"/>
    <w:tmpl w:val="7F5C82FA"/>
    <w:lvl w:ilvl="0" w:tplc="D6D442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06675"/>
    <w:multiLevelType w:val="hybridMultilevel"/>
    <w:tmpl w:val="84B2FF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A5815"/>
    <w:multiLevelType w:val="hybridMultilevel"/>
    <w:tmpl w:val="BD46B0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EFC0448"/>
    <w:multiLevelType w:val="hybridMultilevel"/>
    <w:tmpl w:val="DFE866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6D4427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3B"/>
    <w:rsid w:val="000E6707"/>
    <w:rsid w:val="0037033B"/>
    <w:rsid w:val="005E5A7C"/>
    <w:rsid w:val="00661B6B"/>
    <w:rsid w:val="00B3287C"/>
    <w:rsid w:val="00C5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D9B97"/>
  <w14:defaultImageDpi w14:val="32767"/>
  <w15:chartTrackingRefBased/>
  <w15:docId w15:val="{15E51B4D-6323-AD44-8BE1-BC2180E3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3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3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3FD"/>
  </w:style>
  <w:style w:type="paragraph" w:styleId="Footer">
    <w:name w:val="footer"/>
    <w:basedOn w:val="Normal"/>
    <w:link w:val="FooterChar"/>
    <w:uiPriority w:val="99"/>
    <w:unhideWhenUsed/>
    <w:rsid w:val="00C543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3FD"/>
  </w:style>
  <w:style w:type="character" w:styleId="Hyperlink">
    <w:name w:val="Hyperlink"/>
    <w:basedOn w:val="DefaultParagraphFont"/>
    <w:uiPriority w:val="99"/>
    <w:unhideWhenUsed/>
    <w:rsid w:val="00C543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C54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ca.co.uk/Documents/162%20Anaesthesia%20for%20thyroid%20surger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2Bv7Zz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Johnstone</dc:creator>
  <cp:keywords/>
  <dc:description/>
  <cp:lastModifiedBy>Craig Johnstone</cp:lastModifiedBy>
  <cp:revision>1</cp:revision>
  <dcterms:created xsi:type="dcterms:W3CDTF">2018-12-10T09:59:00Z</dcterms:created>
  <dcterms:modified xsi:type="dcterms:W3CDTF">2018-12-10T10:16:00Z</dcterms:modified>
</cp:coreProperties>
</file>